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9" w:rsidRPr="00590DF9" w:rsidRDefault="00590DF9" w:rsidP="00590D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Pr="0059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</w:t>
      </w:r>
    </w:p>
    <w:p w:rsidR="00590DF9" w:rsidRPr="00590DF9" w:rsidRDefault="00590DF9" w:rsidP="00590D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</w:t>
      </w:r>
      <w:r w:rsidRPr="0059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 201</w:t>
      </w:r>
      <w:r w:rsidRPr="00590DF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bookmarkStart w:id="0" w:name="_GoBack"/>
      <w:bookmarkEnd w:id="0"/>
      <w:r w:rsidRPr="0059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9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Жуковская начальная общеобразовательная школа</w:t>
      </w:r>
    </w:p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Самообследование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МБОУ Жуковской НОШ проводилось в соответствии с приказом </w:t>
      </w: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России от 14.06.2013 года № 462 «Об утверждении Порядка проведения </w:t>
      </w: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образовательной организации».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Целями проведения </w:t>
      </w: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Аналитическая часть.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Жуковская начальная общеобразовательная школа является муниципальным образовательным учреждением, ориентированным на обучение, воспитание и развитие каждого обучающегося с учетом их индивидуальных способностей (возрастных, физиологических, интеллектуальных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МБОУ Жуковская НОШ, реализует общеобразовательные программы дошкольного образования, начального общего и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590DF9" w:rsidRPr="00590DF9" w:rsidRDefault="00590DF9" w:rsidP="00590DF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подразделением Учреждения является: дошкольная группа.</w:t>
      </w:r>
    </w:p>
    <w:p w:rsidR="00590DF9" w:rsidRPr="00590DF9" w:rsidRDefault="00590DF9" w:rsidP="0059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Целью работы структурного подразделения является ведение </w:t>
      </w:r>
      <w:r w:rsidRPr="00590D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деятельности по образовательным программам дошкольного образования, присмотр и уход за детьми от 2 месяцев до 7 лет.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Школа работает в режиме пятидневной рабочей недели. Дошкольная группа функционирует в режиме с 10.5 часовым пребыванием детей (7.00 - 17.30) в количестве 11 детей. В начальной школе обучается 8 учеников.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Образовательный процесс в дошкольной группе осуществляется в соответствии с сеткой НОД и занятий, которая составлена согласно требованиям нормативных документов Министерства Образования и Науки к организации </w:t>
      </w: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дошкольного образования и воспитания, санитарно-эпидемиологических правил и нормативов, с учетом недельной нагрузки.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Основной целью деятельности дошкольной группы (далее - ДГ) является создание условий для реализации гарантированного права на получение общедоступного, качественного и бесплатного дошкольного образования. Содержание образовательного процесса в ДГ определяется общеобразовательной программой, которая разработана, принята и реализуется учреждением в соответствии с ФГОС </w:t>
      </w:r>
      <w:proofErr w:type="gram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</w:t>
      </w:r>
      <w:proofErr w:type="gram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proofErr w:type="gram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основе программы «От рождения до школы» под редакцией Н.Е. </w:t>
      </w: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Вераксы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Т.С. Комаровой, </w:t>
      </w:r>
      <w:proofErr w:type="spell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М.А.Васильевой</w:t>
      </w:r>
      <w:proofErr w:type="spell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Ведущей 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Подготовку учащихся к дальнейшему обучению успешно решает  начальная школа на основе УМК «Перспективная начальная школа». Характерной особенностью </w:t>
      </w:r>
      <w:proofErr w:type="gramStart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данного</w:t>
      </w:r>
      <w:proofErr w:type="gramEnd"/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УМК является направленность на организацию проектной деятельности. Учащиеся осваивают различные способы деятельности, успешнее идет личностное, социальное, познавательное и коммуникативное развитие детей.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целью учета качественных образовательных изменений учащихся в 2017-2018 учебном году педагогами школы проводился мониторинг знаний. Результаты мониторинга учитывались в организации работы с детьми.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школе осуществляются подходы к оценке качества образования через систему школьного, муниципального и регионального мониторинга качества образования.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учебной и внеурочной деятельности используются имеющиеся в наличии традиционные и современные технические средства обучения, оргтехника (аудио-видеоаппаратура, мультимедийные и интерактивные комплексы).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 укомплектовано кадрами. Педагоги школы постоянно повышают свой профессиональный уровень, посещают методические объединения, знакомятся с опытом работы своих коллег и других общеобразовательных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 и школьников</w:t>
      </w: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6083"/>
      </w:tblGrid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введено в эксплуатацию в 1975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ОУ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Жуковская начальная общеобразовательная школа</w:t>
            </w:r>
          </w:p>
        </w:tc>
      </w:tr>
      <w:tr w:rsidR="00590DF9" w:rsidRPr="00590DF9" w:rsidTr="0056338D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Место нахождения ОУ: </w:t>
            </w: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а) юридический адрес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172724 Тверская область, </w:t>
            </w:r>
            <w:proofErr w:type="spell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Фировский</w:t>
            </w:r>
            <w:proofErr w:type="spell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деревня Жуково, улица Колхозная, дом 24</w:t>
            </w: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б) фактический адрес 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172724 Тверская область, </w:t>
            </w:r>
            <w:proofErr w:type="spell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Фировский</w:t>
            </w:r>
            <w:proofErr w:type="spell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деревня Жуково, улица Колхозная, дом 24</w:t>
            </w: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(48239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5-38-25</w:t>
            </w: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Shkola-zhukovo@mail.ru</w:t>
            </w:r>
          </w:p>
        </w:tc>
      </w:tr>
      <w:tr w:rsidR="00590DF9" w:rsidRPr="00590DF9" w:rsidTr="0056338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Нормативное правовое обеспечение деятельности ОУ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5691"/>
      </w:tblGrid>
      <w:tr w:rsidR="00590DF9" w:rsidRPr="00590DF9" w:rsidTr="0056338D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90D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Учредительные документы ОУ</w:t>
            </w:r>
          </w:p>
        </w:tc>
      </w:tr>
      <w:tr w:rsidR="00590DF9" w:rsidRPr="00590DF9" w:rsidTr="0056338D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Устав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Постановление главы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      № 69 от 2016г.</w:t>
            </w:r>
          </w:p>
        </w:tc>
      </w:tr>
      <w:tr w:rsidR="00590DF9" w:rsidRPr="00590DF9" w:rsidTr="0056338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Распоряжение Администрации </w:t>
            </w:r>
            <w:proofErr w:type="spell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11.10.2017 №272 «О предоставлении земельного участка в постоянное (бессрочное) пользование МБОУ Жуковская НОШ.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Распоряжение Администрации </w:t>
            </w:r>
            <w:proofErr w:type="spell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08.02.2018 № 46 «О закреплении имущества на праве оперативного управления»</w:t>
            </w:r>
          </w:p>
        </w:tc>
      </w:tr>
      <w:tr w:rsidR="00590DF9" w:rsidRPr="00590DF9" w:rsidTr="0056338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Учредитель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образование </w:t>
            </w:r>
            <w:proofErr w:type="spell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Фировский</w:t>
            </w:r>
            <w:proofErr w:type="spell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590DF9" w:rsidRPr="00590DF9" w:rsidTr="0056338D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Свидетельство </w:t>
            </w:r>
            <w:proofErr w:type="gramStart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ОГРН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1156952018035 Выдано Межрайонной инспекцией Федеральной налоговой службы №3 по Тверской области 31 августа 2015г.</w:t>
            </w:r>
          </w:p>
        </w:tc>
      </w:tr>
      <w:tr w:rsidR="00590DF9" w:rsidRPr="00590DF9" w:rsidTr="0056338D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Лицензия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октября  2015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 на осуществление образовательной деятельности. Н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 оказывать образовательные услуги по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образовательных программ по видам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Уровни образования: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Начальное общее образование;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90DF9" w:rsidRPr="00590DF9" w:rsidTr="0056338D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мая 2016г.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Серия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А01 № 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0000729</w:t>
            </w:r>
          </w:p>
        </w:tc>
      </w:tr>
      <w:tr w:rsidR="00590DF9" w:rsidRPr="00590DF9" w:rsidTr="0056338D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Образовательные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.Дошкольное образование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Начальное общее образование; </w:t>
            </w:r>
          </w:p>
          <w:p w:rsidR="00590DF9" w:rsidRPr="00590DF9" w:rsidRDefault="00590DF9" w:rsidP="0059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DF9" w:rsidRPr="00590DF9" w:rsidRDefault="00590DF9" w:rsidP="00590D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DF9" w:rsidRPr="00590DF9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Условия для реализации образовательных программ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Характеристика здания</w:t>
      </w:r>
      <w:r w:rsidRPr="00590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 школы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Тип здания (подчеркнуть):  </w:t>
      </w: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типовое,</w:t>
      </w: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приспособленное,   типовое + приспособленное. 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Год ввода в эксплуатацию  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1975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г.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последнего капитального ремонта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2015г. (перепрофилирование)__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Общая площадь 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469,3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proofErr w:type="gramStart"/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t>2</w:t>
      </w:r>
      <w:proofErr w:type="gramEnd"/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Проектная мощность (предельная численность)  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5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5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человек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Фактическая мощность (количество обучающихся)  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19</w:t>
      </w:r>
      <w:r w:rsidRPr="00590D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человек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  площадей, занятых под образовательный процесс</w:t>
      </w: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99"/>
          <w:sz w:val="26"/>
          <w:szCs w:val="26"/>
          <w:lang w:eastAsia="ru-RU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  <w:gridCol w:w="2388"/>
      </w:tblGrid>
      <w:tr w:rsidR="00590DF9" w:rsidRPr="00590DF9" w:rsidTr="0056338D">
        <w:trPr>
          <w:trHeight w:val="309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590DF9" w:rsidRPr="00590DF9" w:rsidTr="0056338D">
        <w:trPr>
          <w:trHeight w:val="464"/>
          <w:jc w:val="center"/>
        </w:trPr>
        <w:tc>
          <w:tcPr>
            <w:tcW w:w="6568" w:type="dxa"/>
            <w:tcBorders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кабинеты начальных классов</w:t>
            </w:r>
          </w:p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0DF9" w:rsidRPr="00590DF9" w:rsidTr="0056338D">
        <w:trPr>
          <w:trHeight w:val="309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группа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DF9" w:rsidRPr="00590DF9" w:rsidTr="0056338D">
        <w:trPr>
          <w:trHeight w:val="309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</w:t>
            </w: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DF9" w:rsidRPr="00590DF9" w:rsidTr="0056338D">
        <w:trPr>
          <w:trHeight w:val="327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Вспомогательные помещения: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DF9" w:rsidRPr="00590DF9" w:rsidTr="0056338D">
        <w:trPr>
          <w:trHeight w:val="327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Изолятор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DF9" w:rsidRPr="00590DF9" w:rsidTr="0056338D">
        <w:trPr>
          <w:trHeight w:val="327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Пищеблок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DF9" w:rsidRPr="00590DF9" w:rsidTr="0056338D">
        <w:trPr>
          <w:trHeight w:val="327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Столовая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DF9" w:rsidRPr="00590DF9" w:rsidTr="0056338D">
        <w:trPr>
          <w:trHeight w:val="327"/>
          <w:jc w:val="center"/>
        </w:trPr>
        <w:tc>
          <w:tcPr>
            <w:tcW w:w="656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Спальня</w:t>
            </w:r>
          </w:p>
        </w:tc>
        <w:tc>
          <w:tcPr>
            <w:tcW w:w="2388" w:type="dxa"/>
          </w:tcPr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90DF9" w:rsidRPr="00590DF9" w:rsidRDefault="00590DF9" w:rsidP="00590DF9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Default="00590DF9" w:rsidP="00590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 № 1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Утверждены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приказом Министерства образования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и науки Российской Федерации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от 10 декабря 2013 г. № 1324</w:t>
      </w:r>
    </w:p>
    <w:p w:rsidR="00590DF9" w:rsidRDefault="00590DF9" w:rsidP="00590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90DF9" w:rsidRPr="00952A65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52A65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952A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0DF9" w:rsidRPr="00952A65" w:rsidRDefault="00590DF9" w:rsidP="0059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Жуковская  НОШ</w:t>
      </w:r>
    </w:p>
    <w:tbl>
      <w:tblPr>
        <w:tblpPr w:leftFromText="180" w:rightFromText="180" w:vertAnchor="text" w:horzAnchor="page" w:tblpX="1220" w:tblpY="513"/>
        <w:tblW w:w="103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6227"/>
        <w:gridCol w:w="2855"/>
      </w:tblGrid>
      <w:tr w:rsidR="00590DF9" w:rsidRPr="00DA269E" w:rsidTr="0056338D">
        <w:trPr>
          <w:trHeight w:val="83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N 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п</w:t>
            </w:r>
            <w:proofErr w:type="gramEnd"/>
            <w:r w:rsidRPr="00DA269E">
              <w:rPr>
                <w:rStyle w:val="FontStyle19"/>
                <w:rFonts w:ascii="Times New Roman" w:hAnsi="Times New Roman" w:cs="Times New Roman"/>
              </w:rPr>
              <w:t>/п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Единица измерения</w:t>
            </w:r>
          </w:p>
        </w:tc>
      </w:tr>
      <w:tr w:rsidR="00590DF9" w:rsidRPr="00DA269E" w:rsidTr="0056338D">
        <w:trPr>
          <w:trHeight w:val="68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DA269E">
              <w:rPr>
                <w:rStyle w:val="FontStyle18"/>
                <w:rFonts w:ascii="Times New Roman" w:hAnsi="Times New Roman" w:cs="Times New Roman"/>
              </w:rPr>
              <w:t>1.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DA269E">
              <w:rPr>
                <w:rStyle w:val="FontStyle18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112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11</w:t>
            </w:r>
          </w:p>
        </w:tc>
      </w:tr>
      <w:tr w:rsidR="00590DF9" w:rsidRPr="00DA269E" w:rsidTr="0056338D">
        <w:trPr>
          <w:trHeight w:val="54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В 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DA269E">
              <w:rPr>
                <w:rStyle w:val="FontStyle19"/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11</w:t>
            </w:r>
          </w:p>
        </w:tc>
      </w:tr>
      <w:tr w:rsidR="00590DF9" w:rsidRPr="00DA269E" w:rsidTr="0056338D">
        <w:trPr>
          <w:trHeight w:val="69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70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25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1.1.4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83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</w:t>
            </w:r>
          </w:p>
        </w:tc>
      </w:tr>
      <w:tr w:rsidR="00590DF9" w:rsidRPr="00DA269E" w:rsidTr="0056338D">
        <w:trPr>
          <w:trHeight w:val="84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9</w:t>
            </w:r>
          </w:p>
        </w:tc>
      </w:tr>
      <w:tr w:rsidR="00590DF9" w:rsidRPr="00DA269E" w:rsidTr="0056338D">
        <w:trPr>
          <w:trHeight w:val="112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11/100%</w:t>
            </w:r>
          </w:p>
        </w:tc>
      </w:tr>
      <w:tr w:rsidR="00590DF9" w:rsidRPr="00DA269E" w:rsidTr="0056338D">
        <w:trPr>
          <w:trHeight w:val="68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1.4.1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В 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DA269E">
              <w:rPr>
                <w:rStyle w:val="FontStyle19"/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11/100%</w:t>
            </w:r>
          </w:p>
        </w:tc>
      </w:tr>
      <w:tr w:rsidR="00590DF9" w:rsidRPr="00DA269E" w:rsidTr="0056338D">
        <w:trPr>
          <w:trHeight w:val="111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1.4.2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84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1.4.3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26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1.5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95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1.5.1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98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1.5.2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11/100%</w:t>
            </w:r>
          </w:p>
        </w:tc>
      </w:tr>
      <w:tr w:rsidR="00590DF9" w:rsidRPr="00DA269E" w:rsidTr="0056338D">
        <w:trPr>
          <w:trHeight w:val="79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1.5.3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11/100%</w:t>
            </w:r>
          </w:p>
        </w:tc>
      </w:tr>
      <w:tr w:rsidR="00590DF9" w:rsidRPr="00DA269E" w:rsidTr="0056338D">
        <w:trPr>
          <w:trHeight w:val="116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1.6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10</w:t>
            </w:r>
          </w:p>
        </w:tc>
      </w:tr>
      <w:tr w:rsidR="00590DF9" w:rsidRPr="00DA269E" w:rsidTr="0056338D">
        <w:trPr>
          <w:trHeight w:val="98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</w:t>
            </w:r>
          </w:p>
        </w:tc>
      </w:tr>
      <w:tr w:rsidR="00590DF9" w:rsidRPr="00DA269E" w:rsidTr="0056338D">
        <w:trPr>
          <w:trHeight w:val="98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1.7.1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39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1.7.2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11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1.7.3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2/100%</w:t>
            </w:r>
          </w:p>
        </w:tc>
      </w:tr>
      <w:tr w:rsidR="00590DF9" w:rsidRPr="00DA269E" w:rsidTr="0056338D">
        <w:trPr>
          <w:trHeight w:val="155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1.7.4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2/100%</w:t>
            </w:r>
          </w:p>
        </w:tc>
      </w:tr>
      <w:tr w:rsidR="00590DF9" w:rsidRPr="00DA269E" w:rsidTr="0056338D">
        <w:trPr>
          <w:trHeight w:val="169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1.8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2/50%</w:t>
            </w:r>
          </w:p>
        </w:tc>
      </w:tr>
      <w:tr w:rsidR="00590DF9" w:rsidRPr="00DA269E" w:rsidTr="0056338D">
        <w:trPr>
          <w:trHeight w:val="111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1.8.1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Высшая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1/50%</w:t>
            </w:r>
          </w:p>
        </w:tc>
      </w:tr>
      <w:tr w:rsidR="00590DF9" w:rsidRPr="00DA269E" w:rsidTr="0056338D">
        <w:trPr>
          <w:trHeight w:val="69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1.8.2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Первая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40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1.9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2/%</w:t>
            </w:r>
          </w:p>
        </w:tc>
      </w:tr>
      <w:tr w:rsidR="00590DF9" w:rsidRPr="00DA269E" w:rsidTr="0056338D">
        <w:trPr>
          <w:trHeight w:val="68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1.9.1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До 5 лет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69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1.9.2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26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1.10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26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2/50%</w:t>
            </w:r>
          </w:p>
        </w:tc>
      </w:tr>
      <w:tr w:rsidR="00590DF9" w:rsidRPr="00DA269E" w:rsidTr="0056338D">
        <w:trPr>
          <w:trHeight w:val="281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  вес   численности педагогических     и     административно-хозяйственных работников, прошедших за последние       5       лет       повышение квалификации/профессиональную переподготовку          по          профилю педагогической  деятельности   или   иной осуществляемой     в     образовательной организации    деятельности,    в    общей численности         педагогических         и административно-хозяйственных работников</w:t>
            </w:r>
            <w:proofErr w:type="gram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4/75%</w:t>
            </w:r>
          </w:p>
        </w:tc>
      </w:tr>
      <w:tr w:rsidR="00590DF9" w:rsidRPr="00DA269E" w:rsidTr="0056338D">
        <w:trPr>
          <w:trHeight w:val="224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4/75%</w:t>
            </w:r>
          </w:p>
        </w:tc>
      </w:tr>
      <w:tr w:rsidR="00590DF9" w:rsidRPr="00DA269E" w:rsidTr="0056338D">
        <w:trPr>
          <w:trHeight w:val="112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2/11</w:t>
            </w:r>
          </w:p>
        </w:tc>
      </w:tr>
      <w:tr w:rsidR="00590DF9" w:rsidRPr="00DA269E" w:rsidTr="0056338D">
        <w:trPr>
          <w:trHeight w:val="98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68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да</w:t>
            </w:r>
          </w:p>
        </w:tc>
      </w:tr>
      <w:tr w:rsidR="00590DF9" w:rsidRPr="00DA269E" w:rsidTr="0056338D">
        <w:trPr>
          <w:trHeight w:val="69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68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Уч</w:t>
            </w:r>
            <w:r w:rsidRPr="00DA269E">
              <w:rPr>
                <w:rStyle w:val="FontStyle19"/>
                <w:rFonts w:ascii="Times New Roman" w:hAnsi="Times New Roman" w:cs="Times New Roman"/>
              </w:rPr>
              <w:t>ителя-логопеда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55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1.15.4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69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1.15.5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Уч</w:t>
            </w:r>
            <w:r w:rsidRPr="00DA269E">
              <w:rPr>
                <w:rStyle w:val="FontStyle19"/>
                <w:rFonts w:ascii="Times New Roman" w:hAnsi="Times New Roman" w:cs="Times New Roman"/>
              </w:rPr>
              <w:t>ителя-дефектолога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547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1.15.6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555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DA269E">
              <w:rPr>
                <w:rStyle w:val="FontStyle18"/>
                <w:rFonts w:ascii="Times New Roman" w:hAnsi="Times New Roman" w:cs="Times New Roman"/>
              </w:rPr>
              <w:t>2.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Инф</w:t>
            </w:r>
            <w:r w:rsidRPr="00DA269E">
              <w:rPr>
                <w:rStyle w:val="FontStyle18"/>
                <w:rFonts w:ascii="Times New Roman" w:hAnsi="Times New Roman" w:cs="Times New Roman"/>
              </w:rPr>
              <w:t>раструктура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97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площадь помещений, в которых осуществляется            образовательная деятельность,    в   расчете   на   одного воспитанника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12 </w:t>
            </w:r>
            <w:proofErr w:type="spellStart"/>
            <w:r w:rsidRPr="00DA269E">
              <w:rPr>
                <w:rStyle w:val="FontStyle19"/>
                <w:rFonts w:ascii="Times New Roman" w:hAnsi="Times New Roman" w:cs="Times New Roman"/>
              </w:rPr>
              <w:t>кв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590DF9" w:rsidRPr="00DA269E" w:rsidTr="0056338D">
        <w:trPr>
          <w:trHeight w:val="84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2.2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Площадь   помещений   для   организации дополнительных    видов    деятельности воспитанников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28,7кв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90DF9" w:rsidRPr="00DA269E" w:rsidTr="0056338D">
        <w:trPr>
          <w:trHeight w:val="56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да</w:t>
            </w:r>
          </w:p>
        </w:tc>
      </w:tr>
      <w:tr w:rsidR="00590DF9" w:rsidRPr="00DA269E" w:rsidTr="0056338D">
        <w:trPr>
          <w:trHeight w:val="68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73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2.5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Наличие        прогулочных        площадок,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да</w:t>
            </w:r>
          </w:p>
        </w:tc>
      </w:tr>
      <w:tr w:rsidR="00590DF9" w:rsidRPr="00DA269E" w:rsidTr="0056338D">
        <w:trPr>
          <w:trHeight w:val="350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обеспечивающих</w:t>
            </w:r>
            <w:proofErr w:type="gramEnd"/>
            <w:r w:rsidRPr="00DA269E">
              <w:rPr>
                <w:rStyle w:val="FontStyle19"/>
                <w:rFonts w:ascii="Times New Roman" w:hAnsi="Times New Roman" w:cs="Times New Roman"/>
              </w:rPr>
              <w:t xml:space="preserve"> физическую активность и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370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разнообразную    игровую    деятельность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374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воспитанников на прогулке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90DF9" w:rsidRDefault="00590DF9" w:rsidP="00590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90DF9" w:rsidRDefault="00590DF9" w:rsidP="00590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90DF9" w:rsidRDefault="00590DF9" w:rsidP="00590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90DF9" w:rsidRDefault="00590DF9" w:rsidP="00590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 № 2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Утверждены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приказом Министерства образования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и науки Российской Федерации</w:t>
      </w:r>
      <w:r w:rsidRPr="00952A6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от 10 декабря 2013 г. № 1324</w:t>
      </w:r>
    </w:p>
    <w:p w:rsidR="00590DF9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90DF9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Style w:val="FontStyle17"/>
          <w:rFonts w:ascii="Times New Roman" w:hAnsi="Times New Roman" w:cs="Times New Roman"/>
          <w:sz w:val="28"/>
          <w:szCs w:val="28"/>
        </w:rPr>
      </w:pPr>
      <w:r w:rsidRPr="00DA269E">
        <w:rPr>
          <w:rStyle w:val="FontStyle17"/>
          <w:rFonts w:ascii="Times New Roman" w:hAnsi="Times New Roman" w:cs="Times New Roman"/>
          <w:sz w:val="28"/>
          <w:szCs w:val="28"/>
        </w:rPr>
        <w:t xml:space="preserve">Показатели деятельности МБОУ Жуковской НОШ, </w:t>
      </w:r>
    </w:p>
    <w:p w:rsidR="00590DF9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Style w:val="FontStyle17"/>
          <w:rFonts w:ascii="Times New Roman" w:hAnsi="Times New Roman" w:cs="Times New Roman"/>
          <w:sz w:val="28"/>
          <w:szCs w:val="28"/>
        </w:rPr>
      </w:pPr>
      <w:r w:rsidRPr="00DA269E">
        <w:rPr>
          <w:rStyle w:val="FontStyle17"/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DA269E">
        <w:rPr>
          <w:rStyle w:val="FontStyle17"/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590DF9" w:rsidRPr="00DA269E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2017-2018 год.</w:t>
      </w:r>
    </w:p>
    <w:p w:rsidR="00590DF9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90DF9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90DF9" w:rsidRPr="00DA269E" w:rsidRDefault="00590DF9" w:rsidP="00590DF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6624"/>
        <w:gridCol w:w="8"/>
        <w:gridCol w:w="2430"/>
      </w:tblGrid>
      <w:tr w:rsidR="00590DF9" w:rsidRPr="00DA269E" w:rsidTr="0056338D">
        <w:trPr>
          <w:trHeight w:val="56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ind w:left="216" w:hanging="216"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N 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п</w:t>
            </w:r>
            <w:proofErr w:type="gramEnd"/>
            <w:r w:rsidRPr="00DA269E">
              <w:rPr>
                <w:rStyle w:val="FontStyle19"/>
                <w:rFonts w:ascii="Times New Roman" w:hAnsi="Times New Roman" w:cs="Times New Roman"/>
              </w:rPr>
              <w:t>/п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Единица измерения</w:t>
            </w:r>
          </w:p>
        </w:tc>
      </w:tr>
      <w:tr w:rsidR="00590DF9" w:rsidRPr="00DA269E" w:rsidTr="0056338D">
        <w:trPr>
          <w:trHeight w:val="5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DA269E">
              <w:rPr>
                <w:rStyle w:val="FontStyle18"/>
                <w:rFonts w:ascii="Times New Roman" w:hAnsi="Times New Roman" w:cs="Times New Roman"/>
              </w:rPr>
              <w:t>1.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DA269E">
              <w:rPr>
                <w:rStyle w:val="FontStyle18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55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8</w:t>
            </w:r>
          </w:p>
        </w:tc>
      </w:tr>
      <w:tr w:rsidR="00590DF9" w:rsidRPr="00DA269E" w:rsidTr="0056338D">
        <w:trPr>
          <w:trHeight w:val="69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8</w:t>
            </w:r>
          </w:p>
        </w:tc>
      </w:tr>
      <w:tr w:rsidR="00590DF9" w:rsidRPr="00DA269E" w:rsidTr="0056338D">
        <w:trPr>
          <w:trHeight w:val="6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84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0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3/50%</w:t>
            </w:r>
          </w:p>
        </w:tc>
      </w:tr>
      <w:tr w:rsidR="00590DF9" w:rsidRPr="00DA269E" w:rsidTr="0056338D">
        <w:trPr>
          <w:trHeight w:val="84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1.6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82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1.7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83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1.8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84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1.9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41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41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6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55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1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2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1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1.17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97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1.18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8/100%</w:t>
            </w:r>
          </w:p>
        </w:tc>
      </w:tr>
      <w:tr w:rsidR="00590DF9" w:rsidRPr="00DA269E" w:rsidTr="0056338D">
        <w:trPr>
          <w:trHeight w:val="97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1.19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8/100%</w:t>
            </w:r>
          </w:p>
        </w:tc>
      </w:tr>
      <w:tr w:rsidR="00590DF9" w:rsidRPr="00DA269E" w:rsidTr="0056338D">
        <w:trPr>
          <w:trHeight w:val="5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1.19.1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1/12.50%</w:t>
            </w:r>
          </w:p>
        </w:tc>
      </w:tr>
      <w:tr w:rsidR="00590DF9" w:rsidRPr="00DA269E" w:rsidTr="0056338D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1.19.2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6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1.19.3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2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113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3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1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97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6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3</w:t>
            </w:r>
          </w:p>
        </w:tc>
      </w:tr>
      <w:tr w:rsidR="00590DF9" w:rsidRPr="00DA269E" w:rsidTr="0056338D">
        <w:trPr>
          <w:trHeight w:val="125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0/0%</w:t>
            </w:r>
          </w:p>
        </w:tc>
      </w:tr>
      <w:tr w:rsidR="00590DF9" w:rsidRPr="00DA269E" w:rsidTr="0056338D">
        <w:trPr>
          <w:trHeight w:val="1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97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1.27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141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1.28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3/3%</w:t>
            </w:r>
          </w:p>
        </w:tc>
      </w:tr>
      <w:tr w:rsidR="00590DF9" w:rsidRPr="00DA269E" w:rsidTr="0056338D">
        <w:trPr>
          <w:trHeight w:val="12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1.29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1/33,3%</w:t>
            </w:r>
          </w:p>
        </w:tc>
      </w:tr>
      <w:tr w:rsidR="00590DF9" w:rsidRPr="00DA269E" w:rsidTr="0056338D">
        <w:trPr>
          <w:trHeight w:val="40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1.29.1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Высшая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5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1.29.2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Первая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1/33,3%</w:t>
            </w:r>
          </w:p>
        </w:tc>
      </w:tr>
      <w:tr w:rsidR="00590DF9" w:rsidRPr="00DA269E" w:rsidTr="0056338D">
        <w:trPr>
          <w:trHeight w:val="98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человек/%</w:t>
            </w:r>
          </w:p>
        </w:tc>
      </w:tr>
      <w:tr w:rsidR="00590DF9" w:rsidRPr="00DA269E" w:rsidTr="0056338D">
        <w:trPr>
          <w:trHeight w:val="11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1.30.1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До 5 лет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42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1.30.2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3/100%</w:t>
            </w:r>
          </w:p>
        </w:tc>
      </w:tr>
      <w:tr w:rsidR="00590DF9" w:rsidRPr="00DA269E" w:rsidTr="0056338D">
        <w:trPr>
          <w:trHeight w:val="9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1.31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9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0</w:t>
            </w:r>
          </w:p>
        </w:tc>
      </w:tr>
      <w:tr w:rsidR="00590DF9" w:rsidRPr="00DA269E" w:rsidTr="0056338D">
        <w:trPr>
          <w:trHeight w:val="253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    вес     численности педагогических       и       административно-хозяйственных  работников,   прошедших  за последние        5        лет       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    численности     педагогических    и административно-хозяйственных работников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5/80%</w:t>
            </w:r>
          </w:p>
        </w:tc>
      </w:tr>
      <w:tr w:rsidR="00590DF9" w:rsidRPr="00DA269E" w:rsidTr="0056338D">
        <w:trPr>
          <w:trHeight w:val="183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1.34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5/60%</w:t>
            </w:r>
          </w:p>
        </w:tc>
      </w:tr>
      <w:tr w:rsidR="00590DF9" w:rsidRPr="00DA269E" w:rsidTr="0056338D">
        <w:trPr>
          <w:trHeight w:val="41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DA269E">
              <w:rPr>
                <w:rStyle w:val="FontStyle18"/>
                <w:rFonts w:ascii="Times New Roman" w:hAnsi="Times New Roman" w:cs="Times New Roman"/>
              </w:rPr>
              <w:t>2.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Инф</w:t>
            </w:r>
            <w:r w:rsidRPr="00DA269E">
              <w:rPr>
                <w:rStyle w:val="FontStyle18"/>
                <w:rFonts w:ascii="Times New Roman" w:hAnsi="Times New Roman" w:cs="Times New Roman"/>
              </w:rPr>
              <w:t>раструктура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54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</w:t>
            </w:r>
          </w:p>
        </w:tc>
      </w:tr>
      <w:tr w:rsidR="00590DF9" w:rsidRPr="00DA269E" w:rsidTr="0056338D">
        <w:trPr>
          <w:trHeight w:val="13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646</w:t>
            </w:r>
          </w:p>
        </w:tc>
      </w:tr>
      <w:tr w:rsidR="00590DF9" w:rsidRPr="00DA269E" w:rsidTr="0056338D">
        <w:trPr>
          <w:trHeight w:val="8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да</w:t>
            </w:r>
          </w:p>
        </w:tc>
      </w:tr>
      <w:tr w:rsidR="00590DF9" w:rsidRPr="00DA269E" w:rsidTr="0056338D">
        <w:trPr>
          <w:trHeight w:val="6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84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2.4.1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5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2.4.2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С </w:t>
            </w:r>
            <w:proofErr w:type="spellStart"/>
            <w:r w:rsidRPr="00DA269E">
              <w:rPr>
                <w:rStyle w:val="FontStyle19"/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68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2.4.3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82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2.4.4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5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2.4.5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нет</w:t>
            </w:r>
          </w:p>
        </w:tc>
      </w:tr>
      <w:tr w:rsidR="00590DF9" w:rsidRPr="00DA269E" w:rsidTr="0056338D">
        <w:trPr>
          <w:trHeight w:val="9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2.5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общей численности учащихся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8/100%</w:t>
            </w:r>
          </w:p>
        </w:tc>
      </w:tr>
      <w:tr w:rsidR="00590DF9" w:rsidRPr="00DA269E" w:rsidTr="0056338D">
        <w:trPr>
          <w:trHeight w:val="73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Общая   площадь   помещений,   в   которых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16,125кв</w:t>
            </w:r>
            <w:proofErr w:type="gramStart"/>
            <w:r w:rsidRPr="00DA269E">
              <w:rPr>
                <w:rStyle w:val="FontStyle19"/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90DF9" w:rsidRPr="00DA269E" w:rsidTr="0056338D">
        <w:trPr>
          <w:trHeight w:val="374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 xml:space="preserve">осуществляется   </w:t>
            </w:r>
            <w:r w:rsidRPr="00DA269E">
              <w:rPr>
                <w:rStyle w:val="FontStyle19"/>
                <w:rFonts w:ascii="Times New Roman" w:hAnsi="Times New Roman" w:cs="Times New Roman"/>
              </w:rPr>
              <w:t>образовательная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  <w:tr w:rsidR="00590DF9" w:rsidRPr="00DA269E" w:rsidTr="0056338D">
        <w:trPr>
          <w:trHeight w:val="72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DA269E">
              <w:rPr>
                <w:rStyle w:val="FontStyle19"/>
                <w:rFonts w:ascii="Times New Roman" w:hAnsi="Times New Roman" w:cs="Times New Roman"/>
              </w:rPr>
              <w:t>деятельность, в расчете на одного учащегося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F9" w:rsidRPr="00DA269E" w:rsidRDefault="00590DF9" w:rsidP="0056338D">
            <w:pPr>
              <w:pStyle w:val="Style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90DF9" w:rsidRDefault="00590DF9" w:rsidP="00590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F9" w:rsidRDefault="00590DF9" w:rsidP="00590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F9" w:rsidRPr="003D3069" w:rsidRDefault="00590DF9" w:rsidP="00590DF9">
      <w:pPr>
        <w:rPr>
          <w:rFonts w:ascii="Times New Roman" w:hAnsi="Times New Roman" w:cs="Times New Roman"/>
          <w:sz w:val="24"/>
          <w:szCs w:val="24"/>
        </w:rPr>
      </w:pPr>
      <w:r w:rsidRPr="003D3069">
        <w:rPr>
          <w:rFonts w:ascii="Times New Roman" w:hAnsi="Times New Roman" w:cs="Times New Roman"/>
          <w:sz w:val="24"/>
          <w:szCs w:val="24"/>
        </w:rPr>
        <w:t xml:space="preserve">Директор МБОУ Жуковская НОШ:                             </w:t>
      </w:r>
      <w:proofErr w:type="spellStart"/>
      <w:r w:rsidRPr="003D3069">
        <w:rPr>
          <w:rFonts w:ascii="Times New Roman" w:hAnsi="Times New Roman" w:cs="Times New Roman"/>
          <w:sz w:val="24"/>
          <w:szCs w:val="24"/>
        </w:rPr>
        <w:t>Н.В.Рахнель</w:t>
      </w:r>
      <w:proofErr w:type="spellEnd"/>
    </w:p>
    <w:p w:rsidR="00590DF9" w:rsidRDefault="00590DF9" w:rsidP="00590DF9">
      <w:pPr>
        <w:rPr>
          <w:rFonts w:ascii="Times New Roman" w:hAnsi="Times New Roman" w:cs="Times New Roman"/>
          <w:b/>
          <w:sz w:val="28"/>
          <w:szCs w:val="28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0DF9" w:rsidRPr="00590DF9" w:rsidRDefault="00590DF9" w:rsidP="005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3B9F" w:rsidRPr="00590DF9" w:rsidRDefault="00423B9F">
      <w:pPr>
        <w:rPr>
          <w:rFonts w:ascii="Times New Roman" w:hAnsi="Times New Roman" w:cs="Times New Roman"/>
          <w:sz w:val="26"/>
          <w:szCs w:val="26"/>
        </w:rPr>
      </w:pPr>
    </w:p>
    <w:sectPr w:rsidR="00423B9F" w:rsidRPr="0059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F9"/>
    <w:rsid w:val="001C4CC4"/>
    <w:rsid w:val="00423B9F"/>
    <w:rsid w:val="004F4F87"/>
    <w:rsid w:val="00590DF9"/>
    <w:rsid w:val="008F7ACA"/>
    <w:rsid w:val="00BD6431"/>
    <w:rsid w:val="00F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90DF9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590DF9"/>
    <w:rPr>
      <w:rFonts w:ascii="Arial" w:hAnsi="Arial" w:cs="Arial"/>
      <w:sz w:val="28"/>
      <w:szCs w:val="28"/>
    </w:rPr>
  </w:style>
  <w:style w:type="character" w:customStyle="1" w:styleId="FontStyle17">
    <w:name w:val="Font Style17"/>
    <w:basedOn w:val="a0"/>
    <w:uiPriority w:val="99"/>
    <w:rsid w:val="00590DF9"/>
    <w:rPr>
      <w:rFonts w:ascii="Arial" w:hAnsi="Arial" w:cs="Arial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90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90DF9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590DF9"/>
    <w:rPr>
      <w:rFonts w:ascii="Arial" w:hAnsi="Arial" w:cs="Arial"/>
      <w:sz w:val="28"/>
      <w:szCs w:val="28"/>
    </w:rPr>
  </w:style>
  <w:style w:type="character" w:customStyle="1" w:styleId="FontStyle17">
    <w:name w:val="Font Style17"/>
    <w:basedOn w:val="a0"/>
    <w:uiPriority w:val="99"/>
    <w:rsid w:val="00590DF9"/>
    <w:rPr>
      <w:rFonts w:ascii="Arial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2018-04-26T12:23:00Z</dcterms:created>
  <dcterms:modified xsi:type="dcterms:W3CDTF">2018-04-26T12:30:00Z</dcterms:modified>
</cp:coreProperties>
</file>